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pacing w:before="0" w:line="312" w:lineRule="auto"/>
        <w:jc w:val="left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>T13 Core Preview</w:t>
      </w:r>
    </w:p>
    <w:p>
      <w:pPr>
        <w:pStyle w:val="Default"/>
        <w:spacing w:before="0" w:line="312" w:lineRule="auto"/>
        <w:jc w:val="left"/>
        <w:rPr>
          <w:rFonts w:ascii="Calibri" w:cs="Calibri" w:hAnsi="Calibri" w:eastAsia="Calibri"/>
          <w:sz w:val="28"/>
          <w:szCs w:val="28"/>
        </w:rPr>
      </w:pP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As we..., we'll be &lt;doing&gt;</w:t>
      </w:r>
      <w:r>
        <w:rPr>
          <w:rFonts w:ascii="Calibri" w:cs="Calibri" w:hAnsi="Calibri" w:eastAsia="Calibri"/>
          <w:b w:val="1"/>
          <w:bCs w:val="1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As we discussed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we'll be starting the in-vivo PK study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as long as we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it-IT"/>
        </w:rPr>
        <w:t xml:space="preserve"> certification.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Since &lt;point in time&gt; , we have &lt;done&gt;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Since 2020, we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keep a large stock of our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to make sure we aren't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any supply chain issues.</w:t>
      </w:r>
    </w:p>
    <w:p>
      <w:pPr>
        <w:pStyle w:val="Default"/>
        <w:spacing w:before="0" w:line="240" w:lineRule="auto"/>
        <w:rPr>
          <w:rFonts w:ascii="Calibri" w:cs="Calibri" w:hAnsi="Calibri" w:eastAsia="Calibri"/>
          <w:sz w:val="28"/>
          <w:szCs w:val="28"/>
        </w:rPr>
      </w:pP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Are you positive..?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Are you positive that we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zh-TW" w:eastAsia="zh-TW"/>
        </w:rPr>
        <w:t xml:space="preserve"> material?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It may ...but it will...</w:t>
      </w:r>
      <w:r>
        <w:rPr>
          <w:rFonts w:ascii="Calibri" w:cs="Calibri" w:hAnsi="Calibri" w:eastAsia="Calibri"/>
          <w:b w:val="1"/>
          <w:bCs w:val="1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It may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, but it will still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, so I say we should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the plan.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Essentially, we'll... We'll then &lt;do&gt;... Once &lt;is done&gt;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Essentially, we'll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to try and remove the impurities. If that doesn't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then send the sample to go through NMR analysis.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we'll reassess the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______________________ 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purify the compound and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</w:rPr>
        <w:t>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In the case of ... (VS in case ...)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In the case of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______________________ 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step 7, it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it was present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in the starting material and it wasn't detected. Considering that,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each step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, rather than just assume it was produced in step 6.</w:t>
      </w:r>
    </w:p>
    <w:p>
      <w:pPr>
        <w:pStyle w:val="Default"/>
        <w:spacing w:before="0" w:line="240" w:lineRule="auto"/>
        <w:rPr>
          <w:rFonts w:ascii="Calibri" w:cs="Calibri" w:hAnsi="Calibri" w:eastAsia="Calibri"/>
          <w:sz w:val="28"/>
          <w:szCs w:val="28"/>
        </w:rPr>
      </w:pP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One of the main reasons.... Additionally...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One of the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______________________ 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was our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______________________.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Additionally, our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 worked with you in the past and was impressed with your work.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</w:p>
    <w:p>
      <w:pPr>
        <w:pStyle w:val="Default"/>
        <w:numPr>
          <w:ilvl w:val="0"/>
          <w:numId w:val="2"/>
        </w:numPr>
        <w:spacing w:before="0" w:line="240" w:lineRule="auto"/>
        <w:rPr>
          <w:rFonts w:ascii="Calibri" w:hAnsi="Calibri"/>
          <w:b w:val="1"/>
          <w:bCs w:val="1"/>
          <w:sz w:val="28"/>
          <w:szCs w:val="28"/>
          <w:lang w:val="en-US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n-US"/>
        </w:rPr>
        <w:t>An added benefit is that...  which ...</w:t>
      </w:r>
      <w:r>
        <w:rPr>
          <w:rFonts w:ascii="Calibri" w:cs="Calibri" w:hAnsi="Calibri" w:eastAsia="Calibri"/>
          <w:b w:val="0"/>
          <w:bCs w:val="0"/>
          <w:sz w:val="28"/>
          <w:szCs w:val="28"/>
        </w:rPr>
        <w:br w:type="textWrapping"/>
      </w:r>
      <w:r>
        <w:rPr>
          <w:rFonts w:ascii="Calibri" w:hAnsi="Calibri"/>
          <w:b w:val="0"/>
          <w:bCs w:val="0"/>
          <w:sz w:val="28"/>
          <w:szCs w:val="28"/>
          <w:rtl w:val="0"/>
          <w:lang w:val="de-DE"/>
        </w:rPr>
        <w:t xml:space="preserve">An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______________________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f this route is that it's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 xml:space="preserve">, which means that we don't need each </w:t>
      </w:r>
      <w:r>
        <w:rPr>
          <w:rFonts w:ascii="Calibri" w:hAnsi="Calibri"/>
          <w:b w:val="0"/>
          <w:bCs w:val="0"/>
          <w:sz w:val="28"/>
          <w:szCs w:val="28"/>
          <w:rtl w:val="0"/>
          <w:lang w:val="en-US"/>
        </w:rPr>
        <w:t>______________________</w:t>
      </w:r>
      <w:r>
        <w:rPr>
          <w:rFonts w:ascii="Calibri" w:hAnsi="Calibri"/>
          <w:b w:val="0"/>
          <w:bCs w:val="0"/>
          <w:sz w:val="28"/>
          <w:szCs w:val="28"/>
          <w:rtl w:val="0"/>
        </w:rPr>
        <w:t>.</w:t>
      </w:r>
      <w:r>
        <w:rPr>
          <w:rFonts w:ascii="Calibri" w:cs="Calibri" w:hAnsi="Calibri" w:eastAsia="Calibri"/>
          <w:b w:val="1"/>
          <w:bCs w:val="1"/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360" w:right="720" w:bottom="360" w:left="720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819"/>
        <w:tab w:val="right" w:pos="9612"/>
        <w:tab w:val="clear" w:pos="9020"/>
      </w:tabs>
    </w:pPr>
    <w:r>
      <w:drawing xmlns:a="http://schemas.openxmlformats.org/drawingml/2006/main">
        <wp:anchor distT="0" distB="0" distL="0" distR="0" simplePos="0" relativeHeight="251658240" behindDoc="1" locked="0" layoutInCell="1" allowOverlap="1">
          <wp:simplePos x="0" y="0"/>
          <wp:positionH relativeFrom="page">
            <wp:posOffset>90</wp:posOffset>
          </wp:positionH>
          <wp:positionV relativeFrom="page">
            <wp:posOffset>1653800</wp:posOffset>
          </wp:positionV>
          <wp:extent cx="7560058" cy="7643660"/>
          <wp:effectExtent l="0" t="0" r="0" b="0"/>
          <wp:wrapNone/>
          <wp:docPr id="1073741825" name="officeArt object" descr="logo elit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 elite.jpg" descr="logo elite.jpg"/>
                  <pic:cNvPicPr>
                    <a:picLocks noChangeAspect="1"/>
                  </pic:cNvPicPr>
                </pic:nvPicPr>
                <pic:blipFill>
                  <a:blip r:embed="rId1">
                    <a:alphaModFix amt="5541"/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58" cy="764366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sz w:val="20"/>
        <w:szCs w:val="20"/>
        <w:rtl w:val="0"/>
        <w:lang w:val="zh-TW" w:eastAsia="zh-TW"/>
      </w:rPr>
      <w:t>精英英语</w:t>
    </w:r>
    <w:r>
      <w:rPr>
        <w:sz w:val="20"/>
        <w:szCs w:val="20"/>
        <w:lang w:val="zh-TW" w:eastAsia="zh-TW"/>
      </w:rPr>
      <w:tab/>
      <w:tab/>
    </w:r>
    <w:r>
      <w:rPr>
        <w:rFonts w:ascii="Helvetica Neue" w:hAnsi="Helvetica Neue"/>
        <w:sz w:val="20"/>
        <w:szCs w:val="20"/>
        <w:rtl w:val="0"/>
        <w:lang w:val="en-US"/>
      </w:rPr>
      <w:t>AWC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2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24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6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68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90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12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34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56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